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Seminario de Titulación II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color w:val="262626"/>
          <w:sz w:val="24"/>
          <w:szCs w:val="24"/>
        </w:rPr>
      </w:pPr>
      <w:r w:rsidDel="00000000" w:rsidR="00000000" w:rsidRPr="00000000">
        <w:rPr>
          <w:rFonts w:ascii="Times New Roman" w:cs="Times New Roman" w:eastAsia="Times New Roman" w:hAnsi="Times New Roman"/>
          <w:b w:val="1"/>
          <w:color w:val="262626"/>
          <w:sz w:val="24"/>
          <w:szCs w:val="24"/>
          <w:rtl w:val="0"/>
        </w:rPr>
        <w:t xml:space="preserve">Evaluación de cortisol en los bovinos en áreas de conflicto fauna-gente en el Parque Nacional Sumaco Napo-Galeras Ecuador</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color w:val="262626"/>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Parque Nacional Sumaco Napo-Galeras está rodeado de numerosas fincas productivas, donde la proximidad de grandes carnívoros del Parque Nacional a estas fincas genera estrés en los bovinos, evidenciado por frecuentes ataques en la zona. El cortisol, un biomarcador del bienestar animal, aumenta con el estrés y afecta el comportamiento, desarrollo y producción de los bovinos, lo cual perjudica la economía de los finqueros y ganaderos, resultando en menor producción de leche y baja calidad de carne. El objetivo de esta investigación es evaluar si la alta presencia de grandes carnívoros registrados en las fincas influye en el aumento de los niveles de cortisol en áreas de conflicto fauna-gente y por ende el desempeño productivo de los bovinos. Para ello, se realizarán mediciones de cortisol en materia fecal de los bovinos de diferentes fincas aledañas al Parque Nacional Sumaco, mediante la prueba ELISA. Se realizará una comparación de los niveles de cortisol en los bovinos que se encuentran en zonas de conflicto y zonas de no conflicto, para lo cual se utilizará un Análisis de Varianza (ANOVA). Se espera que los resultados muestren valores de cortisol diferentes entre las dos zonas de estudio, reflejando la influencia de la mayor interacción con los grandes carnívoros silvestres y por ende un mayor conflicto fauna-gente. La evaluación de los niveles de cortisol en el ganado puede ofrecer datos valiosos que ayuden en el manejo de la coexistencia entre animales de producción y animales de vida silvestre con enfoques destinados a disminuir el conflicto entre la fauna silvestre y la población humana.</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